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0C31" w14:textId="49E695EB" w:rsidR="00990C86" w:rsidRDefault="00990C86" w:rsidP="001D5FE9">
      <w:pPr>
        <w:pStyle w:val="NoSpacing"/>
      </w:pPr>
    </w:p>
    <w:p w14:paraId="38A56E78" w14:textId="77777777" w:rsidR="00990C86" w:rsidRPr="001D5FE9" w:rsidRDefault="00990C86" w:rsidP="001D5FE9">
      <w:pPr>
        <w:jc w:val="center"/>
        <w:rPr>
          <w:b/>
          <w:sz w:val="36"/>
          <w:szCs w:val="36"/>
          <w:u w:val="single"/>
        </w:rPr>
      </w:pPr>
      <w:r w:rsidRPr="001D5FE9">
        <w:rPr>
          <w:b/>
          <w:sz w:val="36"/>
          <w:szCs w:val="36"/>
          <w:u w:val="single"/>
        </w:rPr>
        <w:t>Data Sheet</w:t>
      </w:r>
    </w:p>
    <w:p w14:paraId="3852C420" w14:textId="77777777" w:rsidR="00990C86" w:rsidRPr="00990C86" w:rsidRDefault="006E1D48" w:rsidP="0099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b/>
        </w:rPr>
      </w:pPr>
      <w:r>
        <w:rPr>
          <w:b/>
        </w:rPr>
        <w:t>Touchclave-</w:t>
      </w:r>
      <w:proofErr w:type="gramStart"/>
      <w:r>
        <w:rPr>
          <w:b/>
        </w:rPr>
        <w:t xml:space="preserve">R </w:t>
      </w:r>
      <w:r w:rsidR="00990C86" w:rsidRPr="00990C86">
        <w:rPr>
          <w:b/>
        </w:rPr>
        <w:t xml:space="preserve"> Models</w:t>
      </w:r>
      <w:proofErr w:type="gramEnd"/>
    </w:p>
    <w:p w14:paraId="5A3ACB73" w14:textId="77777777" w:rsidR="00990C86" w:rsidRDefault="00990C86"/>
    <w:tbl>
      <w:tblPr>
        <w:tblW w:w="0" w:type="auto"/>
        <w:tblLook w:val="04A0" w:firstRow="1" w:lastRow="0" w:firstColumn="1" w:lastColumn="0" w:noHBand="0" w:noVBand="1"/>
      </w:tblPr>
      <w:tblGrid>
        <w:gridCol w:w="2927"/>
        <w:gridCol w:w="6099"/>
      </w:tblGrid>
      <w:tr w:rsidR="00990C86" w:rsidRPr="00990C86" w14:paraId="5CB54353" w14:textId="77777777" w:rsidTr="00990C86">
        <w:tc>
          <w:tcPr>
            <w:tcW w:w="4261" w:type="dxa"/>
          </w:tcPr>
          <w:p w14:paraId="1C9BF417" w14:textId="77777777" w:rsidR="00990C86" w:rsidRPr="00990C86" w:rsidRDefault="00990C86" w:rsidP="00990C86">
            <w:pPr>
              <w:pStyle w:val="NoSpacing"/>
              <w:rPr>
                <w:b/>
                <w:sz w:val="20"/>
              </w:rPr>
            </w:pPr>
            <w:r w:rsidRPr="00990C86">
              <w:rPr>
                <w:b/>
              </w:rPr>
              <w:t>Standard Range Features</w:t>
            </w:r>
          </w:p>
          <w:p w14:paraId="25EFCCC1" w14:textId="77777777" w:rsidR="00990C86" w:rsidRDefault="00990C86" w:rsidP="00990C86">
            <w:pPr>
              <w:pStyle w:val="NoSpacing"/>
              <w:rPr>
                <w:sz w:val="20"/>
              </w:rPr>
            </w:pPr>
          </w:p>
          <w:p w14:paraId="7B8EDD01" w14:textId="77777777" w:rsidR="00990C86" w:rsidRPr="00990C86" w:rsidRDefault="00990C86" w:rsidP="00990C86">
            <w:pPr>
              <w:pStyle w:val="NoSpacing"/>
              <w:rPr>
                <w:sz w:val="20"/>
              </w:rPr>
            </w:pPr>
          </w:p>
          <w:p w14:paraId="32C167D9" w14:textId="77777777" w:rsidR="00990C86" w:rsidRPr="00990C86" w:rsidRDefault="006E1D48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Cylindrical</w:t>
            </w:r>
            <w:r w:rsidR="00990C86" w:rsidRPr="00990C86">
              <w:rPr>
                <w:b/>
                <w:sz w:val="20"/>
              </w:rPr>
              <w:t xml:space="preserve"> chamber</w:t>
            </w:r>
          </w:p>
          <w:p w14:paraId="40B9CCAB" w14:textId="77777777" w:rsidR="00990C86" w:rsidRDefault="006E1D48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Pneumatically locked</w:t>
            </w:r>
            <w:r w:rsidR="00990C86" w:rsidRPr="00990C86">
              <w:rPr>
                <w:b/>
                <w:sz w:val="20"/>
              </w:rPr>
              <w:t xml:space="preserve"> door</w:t>
            </w:r>
          </w:p>
          <w:p w14:paraId="32ED97FC" w14:textId="77777777" w:rsidR="00302E75" w:rsidRDefault="00302E75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In-chamber heating</w:t>
            </w:r>
          </w:p>
          <w:p w14:paraId="5FEC6C8C" w14:textId="77777777" w:rsidR="006E1D48" w:rsidRPr="00990C86" w:rsidRDefault="006E1D48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Air ballast</w:t>
            </w:r>
          </w:p>
          <w:p w14:paraId="0C0D1413" w14:textId="77777777" w:rsidR="00990C86" w:rsidRPr="00990C86" w:rsidRDefault="00990C86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90C86">
              <w:rPr>
                <w:b/>
                <w:sz w:val="20"/>
              </w:rPr>
              <w:t>8-program touchscreen control system</w:t>
            </w:r>
          </w:p>
          <w:p w14:paraId="6CC7CEE1" w14:textId="77777777" w:rsidR="00990C86" w:rsidRPr="00990C86" w:rsidRDefault="00990C86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90C86">
              <w:rPr>
                <w:b/>
                <w:sz w:val="20"/>
              </w:rPr>
              <w:t>Internal data archiving for up to 5000 cycles</w:t>
            </w:r>
          </w:p>
          <w:p w14:paraId="48586D7F" w14:textId="77777777" w:rsidR="00990C86" w:rsidRPr="00990C86" w:rsidRDefault="00990C86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90C86">
              <w:rPr>
                <w:b/>
                <w:sz w:val="20"/>
              </w:rPr>
              <w:t>Individual PIN codes for traceability</w:t>
            </w:r>
          </w:p>
          <w:p w14:paraId="036D8060" w14:textId="77777777" w:rsidR="00990C86" w:rsidRPr="00990C86" w:rsidRDefault="00990C86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90C86">
              <w:rPr>
                <w:b/>
                <w:sz w:val="20"/>
              </w:rPr>
              <w:t xml:space="preserve">Fully </w:t>
            </w:r>
            <w:proofErr w:type="spellStart"/>
            <w:r w:rsidRPr="00990C86">
              <w:rPr>
                <w:b/>
                <w:sz w:val="20"/>
              </w:rPr>
              <w:t>self contained</w:t>
            </w:r>
            <w:proofErr w:type="spellEnd"/>
          </w:p>
          <w:p w14:paraId="1AE2912F" w14:textId="77777777" w:rsidR="00990C86" w:rsidRPr="00990C86" w:rsidRDefault="00990C86" w:rsidP="00990C86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90C86">
              <w:rPr>
                <w:b/>
                <w:sz w:val="20"/>
              </w:rPr>
              <w:t>Small foot-print</w:t>
            </w:r>
          </w:p>
          <w:p w14:paraId="00E8754B" w14:textId="77777777" w:rsidR="00990C86" w:rsidRPr="00990C86" w:rsidRDefault="00990C86" w:rsidP="00990C86">
            <w:pPr>
              <w:pStyle w:val="NoSpacing"/>
              <w:rPr>
                <w:sz w:val="20"/>
              </w:rPr>
            </w:pPr>
          </w:p>
          <w:p w14:paraId="70E88114" w14:textId="77777777" w:rsidR="00990C86" w:rsidRPr="00990C86" w:rsidRDefault="00990C86" w:rsidP="00990C86">
            <w:pPr>
              <w:pStyle w:val="NoSpacing"/>
              <w:rPr>
                <w:sz w:val="20"/>
              </w:rPr>
            </w:pPr>
          </w:p>
        </w:tc>
        <w:tc>
          <w:tcPr>
            <w:tcW w:w="4261" w:type="dxa"/>
          </w:tcPr>
          <w:p w14:paraId="22ACDD5F" w14:textId="77777777" w:rsidR="00990C86" w:rsidRPr="00990C86" w:rsidRDefault="006E1D48" w:rsidP="00990C86">
            <w:pPr>
              <w:pStyle w:val="NoSpacing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26D20C60" wp14:editId="63317A71">
                  <wp:extent cx="3716837" cy="2552700"/>
                  <wp:effectExtent l="19050" t="0" r="0" b="0"/>
                  <wp:docPr id="5" name="Picture 4" descr="Group upd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updat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237" cy="255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4C1BC" w14:textId="77777777" w:rsidR="00990C86" w:rsidRPr="00990C86" w:rsidRDefault="00990C86" w:rsidP="00990C86">
      <w:pPr>
        <w:pStyle w:val="NoSpacing"/>
        <w:rPr>
          <w:sz w:val="20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5174"/>
      </w:tblGrid>
      <w:tr w:rsidR="006E1D48" w:rsidRPr="006E1D48" w14:paraId="2309B92C" w14:textId="77777777" w:rsidTr="006E1D48">
        <w:tc>
          <w:tcPr>
            <w:tcW w:w="3348" w:type="dxa"/>
          </w:tcPr>
          <w:p w14:paraId="52E9296E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Capacity/Vessel Type</w:t>
            </w:r>
          </w:p>
        </w:tc>
        <w:tc>
          <w:tcPr>
            <w:tcW w:w="5174" w:type="dxa"/>
          </w:tcPr>
          <w:p w14:paraId="55E73C86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 xml:space="preserve">40, </w:t>
            </w:r>
            <w:r w:rsidRPr="006E1D48">
              <w:rPr>
                <w:rFonts w:asciiTheme="minorHAnsi" w:hAnsiTheme="minorHAnsi" w:cs="Tahoma"/>
                <w:szCs w:val="20"/>
              </w:rPr>
              <w:t>60</w:t>
            </w:r>
            <w:r>
              <w:rPr>
                <w:rFonts w:asciiTheme="minorHAnsi" w:hAnsiTheme="minorHAnsi" w:cs="Tahoma"/>
                <w:szCs w:val="20"/>
              </w:rPr>
              <w:t>, 120 and 160-</w:t>
            </w:r>
            <w:r w:rsidRPr="006E1D48">
              <w:rPr>
                <w:rFonts w:asciiTheme="minorHAnsi" w:hAnsiTheme="minorHAnsi" w:cs="Tahoma"/>
                <w:szCs w:val="20"/>
              </w:rPr>
              <w:t>litres, cylindrical section</w:t>
            </w:r>
          </w:p>
        </w:tc>
      </w:tr>
      <w:tr w:rsidR="006E1D48" w:rsidRPr="006E1D48" w14:paraId="3921F3A3" w14:textId="77777777" w:rsidTr="006E1D48">
        <w:tc>
          <w:tcPr>
            <w:tcW w:w="3348" w:type="dxa"/>
          </w:tcPr>
          <w:p w14:paraId="47119451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Vessel Dimensions, mm</w:t>
            </w:r>
          </w:p>
        </w:tc>
        <w:tc>
          <w:tcPr>
            <w:tcW w:w="5174" w:type="dxa"/>
          </w:tcPr>
          <w:p w14:paraId="0873BE45" w14:textId="77777777" w:rsid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 xml:space="preserve">350dia x </w:t>
            </w:r>
            <w:r>
              <w:rPr>
                <w:rFonts w:asciiTheme="minorHAnsi" w:hAnsiTheme="minorHAnsi" w:cs="Tahoma"/>
                <w:szCs w:val="20"/>
              </w:rPr>
              <w:t>415/</w:t>
            </w:r>
            <w:r w:rsidRPr="006E1D48">
              <w:rPr>
                <w:rFonts w:asciiTheme="minorHAnsi" w:hAnsiTheme="minorHAnsi" w:cs="Tahoma"/>
                <w:szCs w:val="20"/>
              </w:rPr>
              <w:t>625mm D</w:t>
            </w:r>
            <w:r>
              <w:rPr>
                <w:rFonts w:asciiTheme="minorHAnsi" w:hAnsiTheme="minorHAnsi" w:cs="Tahoma"/>
                <w:szCs w:val="20"/>
              </w:rPr>
              <w:t xml:space="preserve"> (40/60-litre models)</w:t>
            </w:r>
          </w:p>
          <w:p w14:paraId="5B57248C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500dia x 610/825mm D (120/160-litre models)</w:t>
            </w:r>
          </w:p>
        </w:tc>
      </w:tr>
      <w:tr w:rsidR="006E1D48" w:rsidRPr="006E1D48" w14:paraId="02B15CB4" w14:textId="77777777" w:rsidTr="006E1D48">
        <w:tc>
          <w:tcPr>
            <w:tcW w:w="3348" w:type="dxa"/>
          </w:tcPr>
          <w:p w14:paraId="668C99D1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Shelves/Positions</w:t>
            </w:r>
          </w:p>
        </w:tc>
        <w:tc>
          <w:tcPr>
            <w:tcW w:w="5174" w:type="dxa"/>
          </w:tcPr>
          <w:p w14:paraId="3AF5CC74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1/1</w:t>
            </w:r>
          </w:p>
        </w:tc>
      </w:tr>
      <w:tr w:rsidR="006E1D48" w:rsidRPr="006E1D48" w14:paraId="0808DF49" w14:textId="77777777" w:rsidTr="006E1D48">
        <w:tc>
          <w:tcPr>
            <w:tcW w:w="3348" w:type="dxa"/>
          </w:tcPr>
          <w:p w14:paraId="693E21B5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Pressure Vessel Material</w:t>
            </w:r>
          </w:p>
        </w:tc>
        <w:tc>
          <w:tcPr>
            <w:tcW w:w="5174" w:type="dxa"/>
          </w:tcPr>
          <w:p w14:paraId="0F9FFF11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High grade 316L stainless steel</w:t>
            </w:r>
          </w:p>
        </w:tc>
      </w:tr>
      <w:tr w:rsidR="006E1D48" w:rsidRPr="006E1D48" w14:paraId="7EA707BC" w14:textId="77777777" w:rsidTr="006E1D48">
        <w:tc>
          <w:tcPr>
            <w:tcW w:w="3348" w:type="dxa"/>
          </w:tcPr>
          <w:p w14:paraId="576A9829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Pressure Vessel Finish</w:t>
            </w:r>
          </w:p>
        </w:tc>
        <w:tc>
          <w:tcPr>
            <w:tcW w:w="5174" w:type="dxa"/>
          </w:tcPr>
          <w:p w14:paraId="2F5C2FEB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Bead blast satin finish (&lt;2.5µm)</w:t>
            </w:r>
          </w:p>
        </w:tc>
      </w:tr>
      <w:tr w:rsidR="006E1D48" w:rsidRPr="006E1D48" w14:paraId="5EFBD358" w14:textId="77777777" w:rsidTr="006E1D48">
        <w:tc>
          <w:tcPr>
            <w:tcW w:w="3348" w:type="dxa"/>
          </w:tcPr>
          <w:p w14:paraId="68E0AE6E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Pressure Vessel Compliance</w:t>
            </w:r>
          </w:p>
        </w:tc>
        <w:tc>
          <w:tcPr>
            <w:tcW w:w="5174" w:type="dxa"/>
          </w:tcPr>
          <w:p w14:paraId="0E90AAF9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PD5500:2000, EN93/27/EC</w:t>
            </w:r>
          </w:p>
        </w:tc>
      </w:tr>
      <w:tr w:rsidR="006E1D48" w:rsidRPr="006E1D48" w14:paraId="0A13E591" w14:textId="77777777" w:rsidTr="006E1D48">
        <w:tc>
          <w:tcPr>
            <w:tcW w:w="3348" w:type="dxa"/>
          </w:tcPr>
          <w:p w14:paraId="7DE7BC58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Other Applicable Standards</w:t>
            </w:r>
          </w:p>
        </w:tc>
        <w:tc>
          <w:tcPr>
            <w:tcW w:w="5174" w:type="dxa"/>
          </w:tcPr>
          <w:p w14:paraId="3E3172F5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 xml:space="preserve">BS2646, </w:t>
            </w:r>
          </w:p>
        </w:tc>
      </w:tr>
      <w:tr w:rsidR="006E1D48" w:rsidRPr="006E1D48" w14:paraId="5BE8E83B" w14:textId="77777777" w:rsidTr="006E1D48">
        <w:tc>
          <w:tcPr>
            <w:tcW w:w="3348" w:type="dxa"/>
          </w:tcPr>
          <w:p w14:paraId="385AA6DF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Door Type</w:t>
            </w:r>
          </w:p>
        </w:tc>
        <w:tc>
          <w:tcPr>
            <w:tcW w:w="5174" w:type="dxa"/>
          </w:tcPr>
          <w:p w14:paraId="08C07F86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Push-n-seal door action. Hinged</w:t>
            </w:r>
          </w:p>
        </w:tc>
      </w:tr>
      <w:tr w:rsidR="006E1D48" w:rsidRPr="006E1D48" w14:paraId="4AC8DB79" w14:textId="77777777" w:rsidTr="006E1D48">
        <w:tc>
          <w:tcPr>
            <w:tcW w:w="3348" w:type="dxa"/>
          </w:tcPr>
          <w:p w14:paraId="11221440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Door Seal</w:t>
            </w:r>
          </w:p>
        </w:tc>
        <w:tc>
          <w:tcPr>
            <w:tcW w:w="5174" w:type="dxa"/>
          </w:tcPr>
          <w:p w14:paraId="636F958B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Floating</w:t>
            </w:r>
          </w:p>
        </w:tc>
      </w:tr>
      <w:tr w:rsidR="006E1D48" w:rsidRPr="006E1D48" w14:paraId="30413921" w14:textId="77777777" w:rsidTr="006E1D48">
        <w:tc>
          <w:tcPr>
            <w:tcW w:w="3348" w:type="dxa"/>
          </w:tcPr>
          <w:p w14:paraId="169892F7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Steam Source</w:t>
            </w:r>
          </w:p>
        </w:tc>
        <w:tc>
          <w:tcPr>
            <w:tcW w:w="5174" w:type="dxa"/>
          </w:tcPr>
          <w:p w14:paraId="764AD7AF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In-chamber heating</w:t>
            </w:r>
          </w:p>
        </w:tc>
      </w:tr>
      <w:tr w:rsidR="006E1D48" w:rsidRPr="006E1D48" w14:paraId="21419473" w14:textId="77777777" w:rsidTr="006E1D48">
        <w:tc>
          <w:tcPr>
            <w:tcW w:w="3348" w:type="dxa"/>
          </w:tcPr>
          <w:p w14:paraId="513977D6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Temp. Range, ˚C</w:t>
            </w:r>
          </w:p>
        </w:tc>
        <w:tc>
          <w:tcPr>
            <w:tcW w:w="5174" w:type="dxa"/>
          </w:tcPr>
          <w:p w14:paraId="24B72635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100-137</w:t>
            </w:r>
          </w:p>
        </w:tc>
      </w:tr>
      <w:tr w:rsidR="006E1D48" w:rsidRPr="006E1D48" w14:paraId="3E5C8C93" w14:textId="77777777" w:rsidTr="006E1D48">
        <w:tc>
          <w:tcPr>
            <w:tcW w:w="3348" w:type="dxa"/>
          </w:tcPr>
          <w:p w14:paraId="6BE8C768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Pressure Range</w:t>
            </w:r>
          </w:p>
        </w:tc>
        <w:tc>
          <w:tcPr>
            <w:tcW w:w="5174" w:type="dxa"/>
          </w:tcPr>
          <w:p w14:paraId="5C36D37F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Zero to 2.62bar</w:t>
            </w:r>
          </w:p>
        </w:tc>
      </w:tr>
      <w:tr w:rsidR="006E1D48" w:rsidRPr="006E1D48" w14:paraId="155C424B" w14:textId="77777777" w:rsidTr="006E1D48">
        <w:tc>
          <w:tcPr>
            <w:tcW w:w="3348" w:type="dxa"/>
          </w:tcPr>
          <w:p w14:paraId="7F89AA48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 xml:space="preserve">Overall Dimensions, mm </w:t>
            </w:r>
          </w:p>
        </w:tc>
        <w:tc>
          <w:tcPr>
            <w:tcW w:w="5174" w:type="dxa"/>
          </w:tcPr>
          <w:p w14:paraId="5F5685EA" w14:textId="77777777" w:rsidR="006E1D48" w:rsidRPr="006E1D48" w:rsidRDefault="009E7D88" w:rsidP="006E1D4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See brochure for details</w:t>
            </w:r>
          </w:p>
        </w:tc>
      </w:tr>
      <w:tr w:rsidR="006E1D48" w:rsidRPr="006E1D48" w14:paraId="6B39E046" w14:textId="77777777" w:rsidTr="006E1D48">
        <w:tc>
          <w:tcPr>
            <w:tcW w:w="3348" w:type="dxa"/>
          </w:tcPr>
          <w:p w14:paraId="0F67FA63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Weight, kg</w:t>
            </w:r>
          </w:p>
        </w:tc>
        <w:tc>
          <w:tcPr>
            <w:tcW w:w="5174" w:type="dxa"/>
          </w:tcPr>
          <w:p w14:paraId="22FD51DA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210</w:t>
            </w:r>
          </w:p>
        </w:tc>
      </w:tr>
      <w:tr w:rsidR="006E1D48" w:rsidRPr="006E1D48" w14:paraId="0F2D9D98" w14:textId="77777777" w:rsidTr="006E1D48">
        <w:tc>
          <w:tcPr>
            <w:tcW w:w="3348" w:type="dxa"/>
          </w:tcPr>
          <w:p w14:paraId="265DD398" w14:textId="77777777" w:rsidR="006E1D48" w:rsidRPr="006E1D48" w:rsidRDefault="006E1D48" w:rsidP="006E1D48">
            <w:pPr>
              <w:pStyle w:val="NoSpacing"/>
              <w:rPr>
                <w:b/>
                <w:i/>
                <w:sz w:val="20"/>
              </w:rPr>
            </w:pPr>
            <w:r w:rsidRPr="006E1D48">
              <w:rPr>
                <w:b/>
                <w:i/>
                <w:sz w:val="20"/>
              </w:rPr>
              <w:t>Control System</w:t>
            </w:r>
          </w:p>
        </w:tc>
        <w:tc>
          <w:tcPr>
            <w:tcW w:w="5174" w:type="dxa"/>
          </w:tcPr>
          <w:p w14:paraId="788B32ED" w14:textId="77777777" w:rsidR="006E1D48" w:rsidRPr="006E1D48" w:rsidRDefault="006E1D48" w:rsidP="006E1D48">
            <w:pPr>
              <w:pStyle w:val="NoSpacing"/>
              <w:rPr>
                <w:sz w:val="20"/>
              </w:rPr>
            </w:pPr>
            <w:r w:rsidRPr="006E1D48">
              <w:rPr>
                <w:sz w:val="20"/>
              </w:rPr>
              <w:t>8-program touch-screen control system</w:t>
            </w:r>
          </w:p>
        </w:tc>
      </w:tr>
      <w:tr w:rsidR="006E1D48" w:rsidRPr="006E1D48" w14:paraId="383AEDE3" w14:textId="77777777" w:rsidTr="006E1D48">
        <w:tc>
          <w:tcPr>
            <w:tcW w:w="3348" w:type="dxa"/>
          </w:tcPr>
          <w:p w14:paraId="64038E7B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Data Archiving</w:t>
            </w:r>
          </w:p>
        </w:tc>
        <w:tc>
          <w:tcPr>
            <w:tcW w:w="5174" w:type="dxa"/>
          </w:tcPr>
          <w:p w14:paraId="777E02B6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Not included</w:t>
            </w:r>
          </w:p>
        </w:tc>
      </w:tr>
      <w:tr w:rsidR="006E1D48" w:rsidRPr="006E1D48" w14:paraId="661BA536" w14:textId="77777777" w:rsidTr="006E1D48">
        <w:tc>
          <w:tcPr>
            <w:tcW w:w="3348" w:type="dxa"/>
          </w:tcPr>
          <w:p w14:paraId="47C4FB5A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Standard Cycle Features</w:t>
            </w:r>
          </w:p>
        </w:tc>
        <w:tc>
          <w:tcPr>
            <w:tcW w:w="5174" w:type="dxa"/>
          </w:tcPr>
          <w:p w14:paraId="6AEB7606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Timed auto-start; batch no. input; operator ID</w:t>
            </w:r>
          </w:p>
        </w:tc>
      </w:tr>
      <w:tr w:rsidR="006E1D48" w:rsidRPr="006E1D48" w14:paraId="0D2EB70F" w14:textId="77777777" w:rsidTr="006E1D48">
        <w:tc>
          <w:tcPr>
            <w:tcW w:w="3348" w:type="dxa"/>
          </w:tcPr>
          <w:p w14:paraId="4D9DEB26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Silent Air Compressor</w:t>
            </w:r>
          </w:p>
        </w:tc>
        <w:tc>
          <w:tcPr>
            <w:tcW w:w="5174" w:type="dxa"/>
          </w:tcPr>
          <w:p w14:paraId="3E52E52D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Included</w:t>
            </w:r>
          </w:p>
        </w:tc>
      </w:tr>
      <w:tr w:rsidR="006E1D48" w:rsidRPr="006E1D48" w14:paraId="19B0D879" w14:textId="77777777" w:rsidTr="006E1D48">
        <w:tc>
          <w:tcPr>
            <w:tcW w:w="3348" w:type="dxa"/>
          </w:tcPr>
          <w:p w14:paraId="54316768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  <w:t>Cooling Method</w:t>
            </w:r>
          </w:p>
        </w:tc>
        <w:tc>
          <w:tcPr>
            <w:tcW w:w="5174" w:type="dxa"/>
          </w:tcPr>
          <w:p w14:paraId="0658DA06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External fan plus dynamic in-chamber cooling</w:t>
            </w:r>
          </w:p>
        </w:tc>
      </w:tr>
      <w:tr w:rsidR="006E1D48" w:rsidRPr="006E1D48" w14:paraId="6C197068" w14:textId="77777777" w:rsidTr="006E1D48">
        <w:tc>
          <w:tcPr>
            <w:tcW w:w="3348" w:type="dxa"/>
          </w:tcPr>
          <w:p w14:paraId="306D4797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  <w:u w:val="single"/>
              </w:rPr>
            </w:pPr>
            <w:r w:rsidRPr="006E1D48">
              <w:rPr>
                <w:rFonts w:asciiTheme="minorHAnsi" w:hAnsiTheme="minorHAnsi" w:cs="Tahoma"/>
                <w:b/>
                <w:bCs/>
                <w:i/>
                <w:iCs/>
                <w:szCs w:val="20"/>
                <w:u w:val="single"/>
              </w:rPr>
              <w:t>Other Options</w:t>
            </w:r>
          </w:p>
        </w:tc>
        <w:tc>
          <w:tcPr>
            <w:tcW w:w="5174" w:type="dxa"/>
          </w:tcPr>
          <w:p w14:paraId="6B603715" w14:textId="77777777" w:rsidR="006E1D48" w:rsidRDefault="006E1D4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 w:rsidRPr="006E1D48">
              <w:rPr>
                <w:rFonts w:asciiTheme="minorHAnsi" w:hAnsiTheme="minorHAnsi" w:cs="Tahoma"/>
                <w:szCs w:val="20"/>
              </w:rPr>
              <w:t>Air Ballast</w:t>
            </w:r>
            <w:r w:rsidR="009E7D88">
              <w:rPr>
                <w:rFonts w:asciiTheme="minorHAnsi" w:hAnsiTheme="minorHAnsi" w:cs="Tahoma"/>
                <w:szCs w:val="20"/>
              </w:rPr>
              <w:t xml:space="preserve"> included as standard</w:t>
            </w:r>
          </w:p>
          <w:p w14:paraId="652E088D" w14:textId="77777777" w:rsidR="009E7D88" w:rsidRPr="006E1D48" w:rsidRDefault="009E7D88" w:rsidP="006E1D48">
            <w:pPr>
              <w:pStyle w:val="Touchclave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For other options see quotation</w:t>
            </w:r>
          </w:p>
          <w:p w14:paraId="320B0707" w14:textId="77777777" w:rsidR="006E1D48" w:rsidRPr="006E1D48" w:rsidRDefault="006E1D48" w:rsidP="006E1D48">
            <w:pPr>
              <w:pStyle w:val="Touchclave"/>
              <w:rPr>
                <w:rFonts w:asciiTheme="minorHAnsi" w:hAnsiTheme="minorHAnsi" w:cs="Tahoma"/>
                <w:b/>
                <w:bCs/>
                <w:i/>
                <w:iCs/>
                <w:szCs w:val="20"/>
              </w:rPr>
            </w:pPr>
          </w:p>
        </w:tc>
      </w:tr>
    </w:tbl>
    <w:p w14:paraId="26FA2FF5" w14:textId="77777777" w:rsidR="00990C86" w:rsidRPr="00990C86" w:rsidRDefault="00990C86" w:rsidP="00990C86">
      <w:pPr>
        <w:pStyle w:val="NoSpacing"/>
        <w:rPr>
          <w:sz w:val="20"/>
        </w:rPr>
      </w:pPr>
    </w:p>
    <w:p w14:paraId="670E8C50" w14:textId="77777777" w:rsidR="00990C86" w:rsidRPr="00990C86" w:rsidRDefault="00990C86" w:rsidP="00990C86">
      <w:pPr>
        <w:pStyle w:val="NoSpacing"/>
        <w:rPr>
          <w:i/>
          <w:iCs/>
          <w:sz w:val="20"/>
        </w:rPr>
      </w:pPr>
      <w:r w:rsidRPr="00990C86">
        <w:rPr>
          <w:i/>
          <w:iCs/>
          <w:sz w:val="20"/>
        </w:rPr>
        <w:t>* See Quote for details</w:t>
      </w:r>
    </w:p>
    <w:p w14:paraId="3429CFC0" w14:textId="77777777" w:rsidR="00990C86" w:rsidRPr="00990C86" w:rsidRDefault="00990C86" w:rsidP="00990C86">
      <w:pPr>
        <w:pStyle w:val="NoSpacing"/>
        <w:rPr>
          <w:i/>
          <w:iCs/>
          <w:sz w:val="20"/>
        </w:rPr>
      </w:pPr>
    </w:p>
    <w:p w14:paraId="4313C7CD" w14:textId="77777777" w:rsidR="00990C86" w:rsidRPr="00990C86" w:rsidRDefault="00990C86" w:rsidP="00990C86">
      <w:pPr>
        <w:pStyle w:val="NoSpacing"/>
        <w:rPr>
          <w:i/>
          <w:iCs/>
          <w:sz w:val="20"/>
        </w:rPr>
      </w:pPr>
      <w:r w:rsidRPr="00990C86">
        <w:rPr>
          <w:i/>
          <w:iCs/>
          <w:sz w:val="20"/>
        </w:rPr>
        <w:lastRenderedPageBreak/>
        <w:t>The above is the standard specification. Any modification/deviation for the above will be clearly identified on the quotation front sheet</w:t>
      </w:r>
    </w:p>
    <w:p w14:paraId="201C99FA" w14:textId="1219AB40" w:rsidR="0048603C" w:rsidRPr="0048603C" w:rsidRDefault="0048603C" w:rsidP="0048603C">
      <w:pPr>
        <w:pStyle w:val="NoSpacing"/>
        <w:rPr>
          <w:sz w:val="20"/>
        </w:rPr>
      </w:pPr>
    </w:p>
    <w:tbl>
      <w:tblPr>
        <w:tblpPr w:leftFromText="180" w:rightFromText="180" w:horzAnchor="margin" w:tblpXSpec="center" w:tblpY="-540"/>
        <w:tblW w:w="8954" w:type="dxa"/>
        <w:tblLook w:val="0000" w:firstRow="0" w:lastRow="0" w:firstColumn="0" w:lastColumn="0" w:noHBand="0" w:noVBand="0"/>
      </w:tblPr>
      <w:tblGrid>
        <w:gridCol w:w="7164"/>
        <w:gridCol w:w="1790"/>
      </w:tblGrid>
      <w:tr w:rsidR="0048603C" w:rsidRPr="00D4498E" w14:paraId="60D092AE" w14:textId="77777777" w:rsidTr="0048603C">
        <w:tc>
          <w:tcPr>
            <w:tcW w:w="7164" w:type="dxa"/>
          </w:tcPr>
          <w:p w14:paraId="044BC0A6" w14:textId="77777777" w:rsidR="0048603C" w:rsidRPr="00D4498E" w:rsidRDefault="0048603C" w:rsidP="0048603C">
            <w:pPr>
              <w:rPr>
                <w:b/>
                <w:bCs/>
                <w:u w:val="single"/>
              </w:rPr>
            </w:pPr>
          </w:p>
          <w:p w14:paraId="692A55F3" w14:textId="77777777" w:rsidR="0048603C" w:rsidRDefault="0048603C" w:rsidP="0048603C">
            <w:pPr>
              <w:rPr>
                <w:b/>
                <w:bCs/>
                <w:u w:val="single"/>
              </w:rPr>
            </w:pPr>
          </w:p>
          <w:p w14:paraId="18304D95" w14:textId="77777777" w:rsidR="0048603C" w:rsidRDefault="0048603C" w:rsidP="0048603C">
            <w:pPr>
              <w:rPr>
                <w:b/>
                <w:bCs/>
                <w:u w:val="single"/>
              </w:rPr>
            </w:pPr>
          </w:p>
          <w:p w14:paraId="101CFBBD" w14:textId="77777777" w:rsidR="0048603C" w:rsidRPr="0048603C" w:rsidRDefault="0048603C" w:rsidP="0048603C">
            <w:pPr>
              <w:rPr>
                <w:b/>
                <w:bCs/>
                <w:sz w:val="24"/>
                <w:u w:val="single"/>
              </w:rPr>
            </w:pPr>
            <w:r w:rsidRPr="00D4498E">
              <w:rPr>
                <w:b/>
                <w:bCs/>
                <w:sz w:val="24"/>
                <w:u w:val="single"/>
              </w:rPr>
              <w:t>Site Service</w:t>
            </w:r>
            <w:r>
              <w:rPr>
                <w:b/>
                <w:bCs/>
                <w:sz w:val="24"/>
                <w:u w:val="single"/>
              </w:rPr>
              <w:t>s</w:t>
            </w:r>
          </w:p>
        </w:tc>
        <w:tc>
          <w:tcPr>
            <w:tcW w:w="1790" w:type="dxa"/>
          </w:tcPr>
          <w:p w14:paraId="42F23463" w14:textId="77777777" w:rsidR="0048603C" w:rsidRPr="00D4498E" w:rsidRDefault="0048603C" w:rsidP="0048603C">
            <w:pPr>
              <w:rPr>
                <w:b/>
                <w:bCs/>
              </w:rPr>
            </w:pPr>
          </w:p>
        </w:tc>
      </w:tr>
    </w:tbl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559"/>
        <w:gridCol w:w="1843"/>
        <w:gridCol w:w="1843"/>
        <w:gridCol w:w="1843"/>
      </w:tblGrid>
      <w:tr w:rsidR="0079278E" w:rsidRPr="00750994" w14:paraId="4D4A0702" w14:textId="77777777" w:rsidTr="006C10A5">
        <w:tc>
          <w:tcPr>
            <w:tcW w:w="2269" w:type="dxa"/>
            <w:shd w:val="clear" w:color="auto" w:fill="D99594" w:themeFill="accent2" w:themeFillTint="99"/>
          </w:tcPr>
          <w:p w14:paraId="5692BD08" w14:textId="77777777" w:rsidR="0079278E" w:rsidRPr="00750994" w:rsidRDefault="0079278E" w:rsidP="006C10A5">
            <w:pPr>
              <w:pStyle w:val="NoSpacing"/>
              <w:rPr>
                <w:b/>
                <w:sz w:val="20"/>
                <w:szCs w:val="18"/>
              </w:rPr>
            </w:pPr>
            <w:r w:rsidRPr="00750994">
              <w:rPr>
                <w:b/>
                <w:sz w:val="20"/>
                <w:szCs w:val="18"/>
              </w:rPr>
              <w:t>Model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566ABD89" w14:textId="77777777" w:rsidR="0079278E" w:rsidRPr="00750994" w:rsidRDefault="0079278E" w:rsidP="006C10A5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50994">
              <w:rPr>
                <w:b/>
                <w:sz w:val="20"/>
                <w:szCs w:val="18"/>
              </w:rPr>
              <w:t>TCR40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57F6249C" w14:textId="77777777" w:rsidR="0079278E" w:rsidRPr="00750994" w:rsidRDefault="0079278E" w:rsidP="006C10A5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50994">
              <w:rPr>
                <w:b/>
                <w:sz w:val="20"/>
                <w:szCs w:val="18"/>
              </w:rPr>
              <w:t>TCR60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18E74778" w14:textId="77777777" w:rsidR="0079278E" w:rsidRPr="00750994" w:rsidRDefault="0079278E" w:rsidP="006C10A5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50994">
              <w:rPr>
                <w:b/>
                <w:sz w:val="20"/>
                <w:szCs w:val="18"/>
              </w:rPr>
              <w:t>TCR120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7BAD956A" w14:textId="77777777" w:rsidR="0079278E" w:rsidRPr="00750994" w:rsidRDefault="0079278E" w:rsidP="006C10A5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50994">
              <w:rPr>
                <w:b/>
                <w:sz w:val="20"/>
                <w:szCs w:val="18"/>
              </w:rPr>
              <w:t>TCR160</w:t>
            </w:r>
          </w:p>
        </w:tc>
      </w:tr>
      <w:tr w:rsidR="0079278E" w:rsidRPr="00750994" w14:paraId="2EDCF89D" w14:textId="77777777" w:rsidTr="006C10A5">
        <w:tc>
          <w:tcPr>
            <w:tcW w:w="2269" w:type="dxa"/>
          </w:tcPr>
          <w:p w14:paraId="2BFBA92D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Capacity</w:t>
            </w:r>
          </w:p>
        </w:tc>
        <w:tc>
          <w:tcPr>
            <w:tcW w:w="1559" w:type="dxa"/>
          </w:tcPr>
          <w:p w14:paraId="7095E7D4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40 litres</w:t>
            </w:r>
          </w:p>
        </w:tc>
        <w:tc>
          <w:tcPr>
            <w:tcW w:w="1843" w:type="dxa"/>
          </w:tcPr>
          <w:p w14:paraId="41EBB0F8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60 litres</w:t>
            </w:r>
          </w:p>
        </w:tc>
        <w:tc>
          <w:tcPr>
            <w:tcW w:w="1843" w:type="dxa"/>
          </w:tcPr>
          <w:p w14:paraId="09F0E4CD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120 litres</w:t>
            </w:r>
          </w:p>
        </w:tc>
        <w:tc>
          <w:tcPr>
            <w:tcW w:w="1843" w:type="dxa"/>
          </w:tcPr>
          <w:p w14:paraId="7986439E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160 litres</w:t>
            </w:r>
          </w:p>
        </w:tc>
      </w:tr>
      <w:tr w:rsidR="0079278E" w:rsidRPr="00750994" w14:paraId="25C1E27C" w14:textId="77777777" w:rsidTr="006C10A5">
        <w:trPr>
          <w:cantSplit/>
          <w:trHeight w:val="680"/>
        </w:trPr>
        <w:tc>
          <w:tcPr>
            <w:tcW w:w="2269" w:type="dxa"/>
          </w:tcPr>
          <w:p w14:paraId="6E3A6E62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 Requirements (Standard Models)</w:t>
            </w:r>
          </w:p>
        </w:tc>
        <w:tc>
          <w:tcPr>
            <w:tcW w:w="1559" w:type="dxa"/>
          </w:tcPr>
          <w:p w14:paraId="52A98D27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4D98EC35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220-240V, 50Hz, 13A</w:t>
            </w:r>
          </w:p>
          <w:p w14:paraId="7EAA7B53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6D4A29B1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512E65F5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 50Hz,</w:t>
            </w:r>
          </w:p>
          <w:p w14:paraId="7C0A4F2D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25A (TCR60H)</w:t>
            </w:r>
          </w:p>
          <w:p w14:paraId="328C761F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20A (TCR60V)</w:t>
            </w:r>
          </w:p>
          <w:p w14:paraId="519C5801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75E908E9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0807B7BA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 50Hz,</w:t>
            </w:r>
          </w:p>
          <w:p w14:paraId="2B200F65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 (TCR120H)</w:t>
            </w:r>
          </w:p>
          <w:p w14:paraId="07FB71B5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 (TCR120V)</w:t>
            </w:r>
          </w:p>
          <w:p w14:paraId="5445E254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1808857D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19F5BF24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 50Hz,</w:t>
            </w:r>
          </w:p>
          <w:p w14:paraId="03B27A6F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 (TCR160H)</w:t>
            </w:r>
          </w:p>
          <w:p w14:paraId="710FAA32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 (TCR160V)</w:t>
            </w:r>
          </w:p>
          <w:p w14:paraId="01013103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</w:tr>
      <w:tr w:rsidR="0079278E" w:rsidRPr="00750994" w14:paraId="168C325E" w14:textId="77777777" w:rsidTr="006C10A5">
        <w:trPr>
          <w:cantSplit/>
          <w:trHeight w:val="690"/>
        </w:trPr>
        <w:tc>
          <w:tcPr>
            <w:tcW w:w="2269" w:type="dxa"/>
          </w:tcPr>
          <w:p w14:paraId="1A1A70D6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 Requirements (Boosted Heater Models)</w:t>
            </w:r>
          </w:p>
        </w:tc>
        <w:tc>
          <w:tcPr>
            <w:tcW w:w="1559" w:type="dxa"/>
          </w:tcPr>
          <w:p w14:paraId="03679328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3785135A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220-240V, 50Hz, 20A</w:t>
            </w:r>
          </w:p>
          <w:p w14:paraId="07442D2B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5D856EBC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62F61144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1-phase, 220-240V 50Hz,</w:t>
            </w:r>
          </w:p>
          <w:p w14:paraId="150137EB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32A (TCR60H)</w:t>
            </w:r>
          </w:p>
          <w:p w14:paraId="6ACB0085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30A (TCR60V)</w:t>
            </w:r>
          </w:p>
          <w:p w14:paraId="08DFD978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0EA67A7B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23B588C4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3-phase, 380-440V N+E, 50Hz,</w:t>
            </w:r>
          </w:p>
          <w:p w14:paraId="064C9701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20A/Ph (TCR120H)</w:t>
            </w:r>
          </w:p>
          <w:p w14:paraId="4349C5FF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20A/Ph (TCR120V)</w:t>
            </w:r>
          </w:p>
          <w:p w14:paraId="003DB02A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  <w:tc>
          <w:tcPr>
            <w:tcW w:w="1843" w:type="dxa"/>
          </w:tcPr>
          <w:p w14:paraId="599BFDA5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Electrically Heated</w:t>
            </w:r>
          </w:p>
          <w:p w14:paraId="505E7A3C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3-phase, 380-440V N+E, 50Hz,</w:t>
            </w:r>
          </w:p>
          <w:p w14:paraId="5384291C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20A/Ph (TCR160H)</w:t>
            </w:r>
          </w:p>
          <w:p w14:paraId="102A04CC" w14:textId="77777777" w:rsidR="0079278E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20A/Ph (TCR160V)</w:t>
            </w:r>
          </w:p>
          <w:p w14:paraId="3706AF9F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Commando Plug – See Electrical Termination</w:t>
            </w:r>
          </w:p>
        </w:tc>
      </w:tr>
      <w:tr w:rsidR="0079278E" w:rsidRPr="00750994" w14:paraId="1F2AADB9" w14:textId="77777777" w:rsidTr="006C10A5">
        <w:trPr>
          <w:cantSplit/>
        </w:trPr>
        <w:tc>
          <w:tcPr>
            <w:tcW w:w="2269" w:type="dxa"/>
          </w:tcPr>
          <w:p w14:paraId="1B74FE31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Water Supply</w:t>
            </w:r>
          </w:p>
        </w:tc>
        <w:tc>
          <w:tcPr>
            <w:tcW w:w="7088" w:type="dxa"/>
            <w:gridSpan w:val="4"/>
          </w:tcPr>
          <w:p w14:paraId="7248608F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Manual fill with potable water.</w:t>
            </w:r>
          </w:p>
          <w:p w14:paraId="5DAD4815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Alternatively for models with Automatic Water-Fill Option:</w:t>
            </w:r>
          </w:p>
          <w:p w14:paraId="5BB32A77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Potable water supply with 15mm inlet.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  <w:vertAlign w:val="subscript"/>
              </w:rPr>
              <w:t xml:space="preserve"> 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2 bar dynamic pressure.</w:t>
            </w:r>
          </w:p>
          <w:p w14:paraId="0370F319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WATER MUST NOT BE DEMINERALISED OR DEIONISED unless the autoclave has been specifically modified for this</w:t>
            </w:r>
          </w:p>
        </w:tc>
      </w:tr>
      <w:tr w:rsidR="0079278E" w:rsidRPr="00750994" w14:paraId="24857BC2" w14:textId="77777777" w:rsidTr="006C10A5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</w:tcPr>
          <w:p w14:paraId="4357490E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Drain Requirements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14:paraId="069A766E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Can be drained into condensate container if no drain available.</w:t>
            </w:r>
          </w:p>
          <w:p w14:paraId="6EBE135A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Otherwise, floor/low level drain, min 50mm dia.</w:t>
            </w:r>
          </w:p>
          <w:p w14:paraId="0CF96925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Continuous </w:t>
            </w:r>
            <w:proofErr w:type="spellStart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untrapped</w:t>
            </w:r>
            <w:proofErr w:type="spellEnd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 fall from autoclave to drain required.</w:t>
            </w:r>
          </w:p>
          <w:p w14:paraId="5743773F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Waste autoclaves should have sealed and vented drains in line with the recommendations of BS2646 Part 2 1990</w:t>
            </w:r>
          </w:p>
          <w:p w14:paraId="52429EAD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Drain must be capable of withstanding high temperatures </w:t>
            </w:r>
            <w:proofErr w:type="gramStart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in excess of</w:t>
            </w:r>
            <w:proofErr w:type="gramEnd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 100</w:t>
            </w:r>
            <w:r w:rsidRPr="00750994">
              <w:rPr>
                <w:rFonts w:ascii="Arial" w:eastAsia="Calibri" w:hAnsi="Arial" w:cs="Arial"/>
                <w:sz w:val="18"/>
                <w:szCs w:val="18"/>
              </w:rPr>
              <w:t>º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 (or 70</w:t>
            </w:r>
            <w:r w:rsidRPr="00750994">
              <w:rPr>
                <w:rFonts w:ascii="Arial" w:eastAsia="Calibri" w:hAnsi="Arial" w:cs="Arial"/>
                <w:sz w:val="18"/>
                <w:szCs w:val="18"/>
              </w:rPr>
              <w:t>º</w:t>
            </w: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 if a condensate unit is fitted).</w:t>
            </w:r>
          </w:p>
          <w:p w14:paraId="60CE372D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For multiple unit installations, the above applies to EACH autoclave. If a common drain is to be used, it must be of such size to prevent </w:t>
            </w:r>
            <w:proofErr w:type="gramStart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cross-flow</w:t>
            </w:r>
            <w:proofErr w:type="gramEnd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 from one autoclave to the other.</w:t>
            </w:r>
          </w:p>
          <w:p w14:paraId="62279B81" w14:textId="77777777" w:rsidR="0079278E" w:rsidRPr="00750994" w:rsidRDefault="0079278E" w:rsidP="006C10A5">
            <w:pPr>
              <w:pStyle w:val="NoSpacing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When in doubt, BS2646, Part 2 1990 applies.</w:t>
            </w:r>
          </w:p>
        </w:tc>
      </w:tr>
      <w:tr w:rsidR="0079278E" w:rsidRPr="00750994" w14:paraId="2A97620C" w14:textId="77777777" w:rsidTr="006C10A5">
        <w:trPr>
          <w:cantSplit/>
        </w:trPr>
        <w:tc>
          <w:tcPr>
            <w:tcW w:w="9357" w:type="dxa"/>
            <w:gridSpan w:val="5"/>
            <w:shd w:val="clear" w:color="auto" w:fill="D9D9D9"/>
          </w:tcPr>
          <w:p w14:paraId="2FE9776D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General</w:t>
            </w:r>
          </w:p>
        </w:tc>
      </w:tr>
      <w:tr w:rsidR="0079278E" w:rsidRPr="00750994" w14:paraId="7F36B913" w14:textId="77777777" w:rsidTr="006C10A5">
        <w:trPr>
          <w:cantSplit/>
        </w:trPr>
        <w:tc>
          <w:tcPr>
            <w:tcW w:w="2269" w:type="dxa"/>
          </w:tcPr>
          <w:p w14:paraId="0C992AD9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Position of Services</w:t>
            </w:r>
          </w:p>
        </w:tc>
        <w:tc>
          <w:tcPr>
            <w:tcW w:w="7088" w:type="dxa"/>
            <w:gridSpan w:val="4"/>
          </w:tcPr>
          <w:p w14:paraId="6B0D7B0E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Within 2m of rear of Autoclave</w:t>
            </w:r>
            <w:r>
              <w:rPr>
                <w:sz w:val="18"/>
                <w:szCs w:val="18"/>
              </w:rPr>
              <w:t xml:space="preserve"> and in sight</w:t>
            </w:r>
          </w:p>
        </w:tc>
      </w:tr>
      <w:tr w:rsidR="0079278E" w:rsidRPr="00750994" w14:paraId="51A21AF7" w14:textId="77777777" w:rsidTr="006C10A5">
        <w:trPr>
          <w:cantSplit/>
        </w:trPr>
        <w:tc>
          <w:tcPr>
            <w:tcW w:w="2269" w:type="dxa"/>
          </w:tcPr>
          <w:p w14:paraId="71670ACE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Delivery and Site Positioning</w:t>
            </w:r>
          </w:p>
        </w:tc>
        <w:tc>
          <w:tcPr>
            <w:tcW w:w="7088" w:type="dxa"/>
            <w:gridSpan w:val="4"/>
          </w:tcPr>
          <w:p w14:paraId="19167940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Deliveries will be ‘one-man’ unless stated otherwise in our quotation. </w:t>
            </w:r>
          </w:p>
          <w:p w14:paraId="0E363BD5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Unless specifically quoted, we will require a level access route into the building and to final position, suitable for manoeuvring the autoclave on its castors or on a pallet truck. Specialist lifting gear and protection to the fabric of the building is the responsibility of others.</w:t>
            </w:r>
          </w:p>
        </w:tc>
      </w:tr>
      <w:tr w:rsidR="0079278E" w:rsidRPr="00750994" w14:paraId="79D66C5C" w14:textId="77777777" w:rsidTr="006C10A5">
        <w:trPr>
          <w:cantSplit/>
        </w:trPr>
        <w:tc>
          <w:tcPr>
            <w:tcW w:w="2269" w:type="dxa"/>
          </w:tcPr>
          <w:p w14:paraId="52F16599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Safety Vents</w:t>
            </w:r>
          </w:p>
        </w:tc>
        <w:tc>
          <w:tcPr>
            <w:tcW w:w="7088" w:type="dxa"/>
            <w:gridSpan w:val="4"/>
          </w:tcPr>
          <w:p w14:paraId="11D37FB1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All vents point downwards at floor level. These can be exhausted outside at extra cost</w:t>
            </w:r>
          </w:p>
        </w:tc>
      </w:tr>
      <w:tr w:rsidR="0079278E" w:rsidRPr="00750994" w14:paraId="29E46D68" w14:textId="77777777" w:rsidTr="006C10A5">
        <w:trPr>
          <w:cantSplit/>
        </w:trPr>
        <w:tc>
          <w:tcPr>
            <w:tcW w:w="2269" w:type="dxa"/>
          </w:tcPr>
          <w:p w14:paraId="3207F511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Ventilation</w:t>
            </w:r>
          </w:p>
        </w:tc>
        <w:tc>
          <w:tcPr>
            <w:tcW w:w="7088" w:type="dxa"/>
            <w:gridSpan w:val="4"/>
          </w:tcPr>
          <w:p w14:paraId="76515986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Autoclaves must be sited in a </w:t>
            </w:r>
            <w:proofErr w:type="spellStart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well ventilated</w:t>
            </w:r>
            <w:proofErr w:type="spellEnd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 area</w:t>
            </w:r>
          </w:p>
        </w:tc>
      </w:tr>
      <w:tr w:rsidR="0079278E" w:rsidRPr="00750994" w14:paraId="6F316A53" w14:textId="77777777" w:rsidTr="006C10A5">
        <w:trPr>
          <w:cantSplit/>
        </w:trPr>
        <w:tc>
          <w:tcPr>
            <w:tcW w:w="2269" w:type="dxa"/>
          </w:tcPr>
          <w:p w14:paraId="3B45EED8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Service Access</w:t>
            </w:r>
          </w:p>
        </w:tc>
        <w:tc>
          <w:tcPr>
            <w:tcW w:w="7088" w:type="dxa"/>
            <w:gridSpan w:val="4"/>
          </w:tcPr>
          <w:p w14:paraId="04E8B9ED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BS2646 states that 1000mm is required around the autoclave for service. We realise this may be impractical, however, a minimum of 500mm is required at the sides and rear for servicing of the autoclave. Should this not be available, you must contact LTE to discuss other options.</w:t>
            </w:r>
          </w:p>
        </w:tc>
      </w:tr>
      <w:tr w:rsidR="0079278E" w:rsidRPr="00750994" w14:paraId="1D2ECC64" w14:textId="77777777" w:rsidTr="006C10A5">
        <w:trPr>
          <w:cantSplit/>
        </w:trPr>
        <w:tc>
          <w:tcPr>
            <w:tcW w:w="2269" w:type="dxa"/>
          </w:tcPr>
          <w:p w14:paraId="55C8D8F4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Electrical Termination</w:t>
            </w:r>
          </w:p>
        </w:tc>
        <w:tc>
          <w:tcPr>
            <w:tcW w:w="7088" w:type="dxa"/>
            <w:gridSpan w:val="4"/>
          </w:tcPr>
          <w:p w14:paraId="1537EA93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8603C">
              <w:rPr>
                <w:sz w:val="18"/>
              </w:rPr>
              <w:t xml:space="preserve">The incoming electrical supply must be terminated in a suitable fused isolator. </w:t>
            </w:r>
            <w:r>
              <w:rPr>
                <w:sz w:val="18"/>
              </w:rPr>
              <w:t xml:space="preserve">As standard, final connection of Commando Socket, Autoclave will be fitted with </w:t>
            </w:r>
            <w:r w:rsidRPr="000F4A15">
              <w:rPr>
                <w:b/>
                <w:bCs/>
                <w:sz w:val="18"/>
              </w:rPr>
              <w:t>Commando Plug</w:t>
            </w:r>
            <w:r>
              <w:rPr>
                <w:sz w:val="18"/>
              </w:rPr>
              <w:t>. Options for hard-wired into isolator is available with discussion.</w:t>
            </w:r>
          </w:p>
        </w:tc>
      </w:tr>
      <w:tr w:rsidR="0079278E" w:rsidRPr="00750994" w14:paraId="4FCE8DF7" w14:textId="77777777" w:rsidTr="006C10A5">
        <w:trPr>
          <w:cantSplit/>
        </w:trPr>
        <w:tc>
          <w:tcPr>
            <w:tcW w:w="2269" w:type="dxa"/>
          </w:tcPr>
          <w:p w14:paraId="2763DAA4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Water Hardness</w:t>
            </w:r>
          </w:p>
        </w:tc>
        <w:tc>
          <w:tcPr>
            <w:tcW w:w="7088" w:type="dxa"/>
            <w:gridSpan w:val="4"/>
          </w:tcPr>
          <w:p w14:paraId="3CC795E7" w14:textId="77777777" w:rsidR="0079278E" w:rsidRPr="0048603C" w:rsidRDefault="0079278E" w:rsidP="006C10A5">
            <w:pPr>
              <w:pStyle w:val="NoSpacing"/>
              <w:rPr>
                <w:sz w:val="18"/>
              </w:rPr>
            </w:pPr>
            <w:r w:rsidRPr="0048603C">
              <w:rPr>
                <w:sz w:val="18"/>
              </w:rPr>
              <w:t>It is the customers responsibility to advise us of any hard water issues. Hardness levels should be below 50ppm CaCO</w:t>
            </w:r>
            <w:r w:rsidRPr="0048603C">
              <w:rPr>
                <w:sz w:val="18"/>
                <w:vertAlign w:val="subscript"/>
              </w:rPr>
              <w:t>3</w:t>
            </w:r>
            <w:r w:rsidRPr="0048603C">
              <w:rPr>
                <w:sz w:val="18"/>
              </w:rPr>
              <w:t xml:space="preserve">. </w:t>
            </w:r>
            <w:r>
              <w:rPr>
                <w:sz w:val="18"/>
              </w:rPr>
              <w:t>Operating the autoclave above this level without suitable water softeners will affect the autoclaves performance and invalidate your warranty.</w:t>
            </w:r>
            <w:r w:rsidRPr="0048603C">
              <w:rPr>
                <w:sz w:val="18"/>
              </w:rPr>
              <w:t xml:space="preserve"> </w:t>
            </w:r>
          </w:p>
        </w:tc>
      </w:tr>
      <w:tr w:rsidR="0079278E" w:rsidRPr="00750994" w14:paraId="7186AA30" w14:textId="77777777" w:rsidTr="006C10A5">
        <w:trPr>
          <w:cantSplit/>
        </w:trPr>
        <w:tc>
          <w:tcPr>
            <w:tcW w:w="2269" w:type="dxa"/>
          </w:tcPr>
          <w:p w14:paraId="42292EC6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Suitability of Services</w:t>
            </w:r>
          </w:p>
        </w:tc>
        <w:tc>
          <w:tcPr>
            <w:tcW w:w="7088" w:type="dxa"/>
            <w:gridSpan w:val="4"/>
          </w:tcPr>
          <w:p w14:paraId="40F426F0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LTE sales and technical staff are always on hand to </w:t>
            </w:r>
            <w:proofErr w:type="gramStart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provide assistance</w:t>
            </w:r>
            <w:proofErr w:type="gramEnd"/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 xml:space="preserve"> with assessing site conditions, however ultimately it is the customers responsibility to ascertain the suitability of services on site. </w:t>
            </w:r>
          </w:p>
        </w:tc>
      </w:tr>
      <w:tr w:rsidR="0079278E" w:rsidRPr="00750994" w14:paraId="0C3E5CD3" w14:textId="77777777" w:rsidTr="006C10A5">
        <w:trPr>
          <w:cantSplit/>
        </w:trPr>
        <w:tc>
          <w:tcPr>
            <w:tcW w:w="2269" w:type="dxa"/>
          </w:tcPr>
          <w:p w14:paraId="563BEDF2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Continuity</w:t>
            </w:r>
          </w:p>
        </w:tc>
        <w:tc>
          <w:tcPr>
            <w:tcW w:w="7088" w:type="dxa"/>
            <w:gridSpan w:val="4"/>
          </w:tcPr>
          <w:p w14:paraId="54243627" w14:textId="77777777" w:rsidR="0079278E" w:rsidRPr="00750994" w:rsidRDefault="0079278E" w:rsidP="006C10A5">
            <w:pPr>
              <w:pStyle w:val="NoSpacing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0994">
              <w:rPr>
                <w:rFonts w:ascii="Calibri" w:eastAsia="Calibri" w:hAnsi="Calibri" w:cs="Times New Roman"/>
                <w:sz w:val="18"/>
                <w:szCs w:val="18"/>
              </w:rPr>
              <w:t>It is assumed that once our engineer attends site, all services will be available and that installation can take place without delays. Extra charges will be incurred for delays outside LTE control.</w:t>
            </w:r>
          </w:p>
        </w:tc>
      </w:tr>
    </w:tbl>
    <w:p w14:paraId="190EE49D" w14:textId="330AD089" w:rsidR="00982B44" w:rsidRDefault="00982B44" w:rsidP="00434A1C">
      <w:pPr>
        <w:rPr>
          <w:sz w:val="18"/>
        </w:rPr>
      </w:pPr>
    </w:p>
    <w:p w14:paraId="6005A8F1" w14:textId="6B652A9B" w:rsidR="001130B5" w:rsidRDefault="001130B5">
      <w:pPr>
        <w:rPr>
          <w:sz w:val="18"/>
        </w:rPr>
      </w:pPr>
    </w:p>
    <w:sectPr w:rsidR="001130B5" w:rsidSect="00615DCE">
      <w:headerReference w:type="default" r:id="rId9"/>
      <w:footerReference w:type="default" r:id="rId10"/>
      <w:pgSz w:w="11906" w:h="16838"/>
      <w:pgMar w:top="308" w:right="1440" w:bottom="426" w:left="1440" w:header="27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8E1D" w14:textId="77777777" w:rsidR="00B34926" w:rsidRDefault="00B34926" w:rsidP="000156F6">
      <w:pPr>
        <w:spacing w:after="0" w:line="240" w:lineRule="auto"/>
      </w:pPr>
      <w:r>
        <w:separator/>
      </w:r>
    </w:p>
  </w:endnote>
  <w:endnote w:type="continuationSeparator" w:id="0">
    <w:p w14:paraId="07861FDB" w14:textId="77777777" w:rsidR="00B34926" w:rsidRDefault="00B34926" w:rsidP="000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BAE0" w14:textId="77777777" w:rsidR="00B34926" w:rsidRPr="000156F6" w:rsidRDefault="00B34926">
    <w:pPr>
      <w:pStyle w:val="Footer"/>
      <w:rPr>
        <w:sz w:val="20"/>
      </w:rPr>
    </w:pPr>
    <w:r w:rsidRPr="000156F6">
      <w:rPr>
        <w:b/>
        <w:sz w:val="20"/>
      </w:rPr>
      <w:t>LTE Scientific Ltd</w:t>
    </w:r>
    <w:r w:rsidRPr="000156F6">
      <w:rPr>
        <w:sz w:val="20"/>
      </w:rPr>
      <w:t>, Greenbridge Lane, Greenfield, Oldham, OL3 7EN, United Kingdom</w:t>
    </w:r>
  </w:p>
  <w:p w14:paraId="760EFE69" w14:textId="77777777" w:rsidR="00B34926" w:rsidRPr="000156F6" w:rsidRDefault="00B34926">
    <w:pPr>
      <w:pStyle w:val="Footer"/>
      <w:rPr>
        <w:sz w:val="20"/>
      </w:rPr>
    </w:pPr>
    <w:r w:rsidRPr="000156F6">
      <w:rPr>
        <w:sz w:val="20"/>
      </w:rPr>
      <w:t>Tel: +44 (0)1457 876221        Fax: +44 (0)1457 870131     Email: info@lte-scientific.co.uk</w:t>
    </w:r>
  </w:p>
  <w:p w14:paraId="3842F695" w14:textId="77777777" w:rsidR="00B34926" w:rsidRPr="000156F6" w:rsidRDefault="00B34926">
    <w:pPr>
      <w:pStyle w:val="Footer"/>
      <w:rPr>
        <w:b/>
      </w:rPr>
    </w:pPr>
    <w:r w:rsidRPr="000156F6">
      <w:rPr>
        <w:b/>
        <w:sz w:val="20"/>
      </w:rPr>
      <w:t xml:space="preserve">www.lte-scientific.co.uk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2A66" w14:textId="77777777" w:rsidR="00B34926" w:rsidRDefault="00B34926" w:rsidP="000156F6">
      <w:pPr>
        <w:spacing w:after="0" w:line="240" w:lineRule="auto"/>
      </w:pPr>
      <w:r>
        <w:separator/>
      </w:r>
    </w:p>
  </w:footnote>
  <w:footnote w:type="continuationSeparator" w:id="0">
    <w:p w14:paraId="43DA9D55" w14:textId="77777777" w:rsidR="00B34926" w:rsidRDefault="00B34926" w:rsidP="0001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E1F" w14:textId="77777777" w:rsidR="00B34926" w:rsidRDefault="00B34926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3311"/>
      <w:gridCol w:w="4479"/>
    </w:tblGrid>
    <w:tr w:rsidR="00B34926" w14:paraId="77971DC3" w14:textId="77777777" w:rsidTr="00615DCE">
      <w:tc>
        <w:tcPr>
          <w:tcW w:w="1242" w:type="dxa"/>
        </w:tcPr>
        <w:p w14:paraId="0B9FD957" w14:textId="77777777" w:rsidR="00B34926" w:rsidRDefault="00B34926">
          <w:pPr>
            <w:pStyle w:val="Header"/>
          </w:pPr>
          <w:r w:rsidRPr="00615DCE">
            <w:rPr>
              <w:noProof/>
              <w:lang w:eastAsia="en-GB"/>
            </w:rPr>
            <w:drawing>
              <wp:inline distT="0" distB="0" distL="0" distR="0" wp14:anchorId="3B6C7370" wp14:editId="4A955392">
                <wp:extent cx="533400" cy="533400"/>
                <wp:effectExtent l="19050" t="0" r="0" b="0"/>
                <wp:docPr id="3" name="Picture 0" descr="2008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08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106" cy="534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</w:tcPr>
        <w:p w14:paraId="0E619C6D" w14:textId="77777777" w:rsidR="00B34926" w:rsidRPr="00615DCE" w:rsidRDefault="00B34926">
          <w:pPr>
            <w:pStyle w:val="Header"/>
            <w:rPr>
              <w:b/>
              <w:sz w:val="18"/>
            </w:rPr>
          </w:pPr>
        </w:p>
        <w:p w14:paraId="51BAAF74" w14:textId="77777777" w:rsidR="00B34926" w:rsidRDefault="00B34926">
          <w:pPr>
            <w:pStyle w:val="Header"/>
          </w:pPr>
          <w:r w:rsidRPr="005C3593">
            <w:rPr>
              <w:b/>
              <w:sz w:val="28"/>
            </w:rPr>
            <w:t>LTE Scientific Ltd</w:t>
          </w:r>
        </w:p>
      </w:tc>
      <w:tc>
        <w:tcPr>
          <w:tcW w:w="4621" w:type="dxa"/>
        </w:tcPr>
        <w:p w14:paraId="01E9D547" w14:textId="77777777" w:rsidR="00B34926" w:rsidRPr="00615DCE" w:rsidRDefault="00B34926" w:rsidP="00615DCE">
          <w:pPr>
            <w:pStyle w:val="Header"/>
            <w:jc w:val="right"/>
            <w:rPr>
              <w:b/>
              <w:sz w:val="14"/>
            </w:rPr>
          </w:pPr>
        </w:p>
        <w:p w14:paraId="02A7B9FF" w14:textId="3307982E" w:rsidR="00B34926" w:rsidRDefault="00B34926" w:rsidP="00615DCE">
          <w:pPr>
            <w:pStyle w:val="Header"/>
            <w:jc w:val="right"/>
          </w:pPr>
        </w:p>
      </w:tc>
    </w:tr>
  </w:tbl>
  <w:p w14:paraId="7B5DC688" w14:textId="77777777" w:rsidR="00B34926" w:rsidRDefault="00B34926">
    <w:pPr>
      <w:pStyle w:val="Header"/>
    </w:pPr>
  </w:p>
  <w:p w14:paraId="57963BFA" w14:textId="77777777" w:rsidR="00B34926" w:rsidRDefault="00B34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39C7"/>
    <w:multiLevelType w:val="hybridMultilevel"/>
    <w:tmpl w:val="A2E22F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568A"/>
    <w:multiLevelType w:val="hybridMultilevel"/>
    <w:tmpl w:val="19A8AD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C216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3" w15:restartNumberingAfterBreak="0">
    <w:nsid w:val="71C561B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num w:numId="1" w16cid:durableId="727190477">
    <w:abstractNumId w:val="2"/>
  </w:num>
  <w:num w:numId="2" w16cid:durableId="128204022">
    <w:abstractNumId w:val="3"/>
  </w:num>
  <w:num w:numId="3" w16cid:durableId="1827479497">
    <w:abstractNumId w:val="1"/>
  </w:num>
  <w:num w:numId="4" w16cid:durableId="942689019">
    <w:abstractNumId w:val="0"/>
  </w:num>
  <w:num w:numId="5" w16cid:durableId="2096392027">
    <w:abstractNumId w:val="3"/>
  </w:num>
  <w:num w:numId="6" w16cid:durableId="132149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3"/>
    <w:rsid w:val="000156F6"/>
    <w:rsid w:val="00073396"/>
    <w:rsid w:val="00086A7D"/>
    <w:rsid w:val="00092130"/>
    <w:rsid w:val="000B42CC"/>
    <w:rsid w:val="000B56C7"/>
    <w:rsid w:val="000C58E6"/>
    <w:rsid w:val="001130B5"/>
    <w:rsid w:val="001C2B63"/>
    <w:rsid w:val="001D5FE9"/>
    <w:rsid w:val="001E1A45"/>
    <w:rsid w:val="002565B5"/>
    <w:rsid w:val="002A7056"/>
    <w:rsid w:val="00302E75"/>
    <w:rsid w:val="00364283"/>
    <w:rsid w:val="00434A1C"/>
    <w:rsid w:val="004606BF"/>
    <w:rsid w:val="00465445"/>
    <w:rsid w:val="0048603C"/>
    <w:rsid w:val="004A1F46"/>
    <w:rsid w:val="004B4676"/>
    <w:rsid w:val="005310F9"/>
    <w:rsid w:val="00545E60"/>
    <w:rsid w:val="005A0C4B"/>
    <w:rsid w:val="005C3593"/>
    <w:rsid w:val="00615DCE"/>
    <w:rsid w:val="006969C1"/>
    <w:rsid w:val="006D2116"/>
    <w:rsid w:val="006E1D48"/>
    <w:rsid w:val="007431DE"/>
    <w:rsid w:val="00750994"/>
    <w:rsid w:val="007575C8"/>
    <w:rsid w:val="00784DA1"/>
    <w:rsid w:val="00785DB1"/>
    <w:rsid w:val="0079278E"/>
    <w:rsid w:val="00797EA2"/>
    <w:rsid w:val="007E0D58"/>
    <w:rsid w:val="0084225F"/>
    <w:rsid w:val="0087508C"/>
    <w:rsid w:val="008B3E13"/>
    <w:rsid w:val="008B3E4E"/>
    <w:rsid w:val="008E2774"/>
    <w:rsid w:val="00982B44"/>
    <w:rsid w:val="00990C86"/>
    <w:rsid w:val="009A2851"/>
    <w:rsid w:val="009E7D88"/>
    <w:rsid w:val="00A1251F"/>
    <w:rsid w:val="00A20120"/>
    <w:rsid w:val="00AD3C3C"/>
    <w:rsid w:val="00AD3FBF"/>
    <w:rsid w:val="00AE4797"/>
    <w:rsid w:val="00B156A1"/>
    <w:rsid w:val="00B2040A"/>
    <w:rsid w:val="00B271B8"/>
    <w:rsid w:val="00B34926"/>
    <w:rsid w:val="00B57CB6"/>
    <w:rsid w:val="00BF2F99"/>
    <w:rsid w:val="00C56AFD"/>
    <w:rsid w:val="00CC6A85"/>
    <w:rsid w:val="00D0480D"/>
    <w:rsid w:val="00D2205E"/>
    <w:rsid w:val="00D63C35"/>
    <w:rsid w:val="00DA57C6"/>
    <w:rsid w:val="00DD5DE6"/>
    <w:rsid w:val="00DD641F"/>
    <w:rsid w:val="00DE3E46"/>
    <w:rsid w:val="00E57397"/>
    <w:rsid w:val="00E767FF"/>
    <w:rsid w:val="00EA154A"/>
    <w:rsid w:val="00EE1484"/>
    <w:rsid w:val="00F00172"/>
    <w:rsid w:val="00F35D9A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E0E7"/>
  <w15:docId w15:val="{4683C189-2874-4BC1-9348-D3B99464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C1"/>
  </w:style>
  <w:style w:type="paragraph" w:styleId="Heading1">
    <w:name w:val="heading 1"/>
    <w:basedOn w:val="Normal"/>
    <w:next w:val="Normal"/>
    <w:link w:val="Heading1Char"/>
    <w:qFormat/>
    <w:rsid w:val="0048603C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6F6"/>
  </w:style>
  <w:style w:type="paragraph" w:styleId="Footer">
    <w:name w:val="footer"/>
    <w:basedOn w:val="Normal"/>
    <w:link w:val="FooterChar"/>
    <w:uiPriority w:val="99"/>
    <w:unhideWhenUsed/>
    <w:rsid w:val="0001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6F6"/>
  </w:style>
  <w:style w:type="paragraph" w:styleId="NoSpacing">
    <w:name w:val="No Spacing"/>
    <w:uiPriority w:val="1"/>
    <w:qFormat/>
    <w:rsid w:val="000B56C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C56AFD"/>
    <w:pPr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56AFD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48603C"/>
    <w:rPr>
      <w:rFonts w:ascii="Tahoma" w:eastAsia="Times New Roman" w:hAnsi="Tahoma" w:cs="Times New Roman"/>
      <w:b/>
      <w:bCs/>
      <w:sz w:val="20"/>
      <w:szCs w:val="24"/>
    </w:rPr>
  </w:style>
  <w:style w:type="paragraph" w:customStyle="1" w:styleId="Touchclave">
    <w:name w:val="Touchclave"/>
    <w:basedOn w:val="Normal"/>
    <w:rsid w:val="00990C86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styleId="Strong">
    <w:name w:val="Strong"/>
    <w:basedOn w:val="DefaultParagraphFont"/>
    <w:qFormat/>
    <w:rsid w:val="0098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F049-177C-47F9-B2FD-4FED17E2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J.Lees</dc:creator>
  <cp:lastModifiedBy>Richard Kitchingman</cp:lastModifiedBy>
  <cp:revision>4</cp:revision>
  <cp:lastPrinted>2015-07-07T08:26:00Z</cp:lastPrinted>
  <dcterms:created xsi:type="dcterms:W3CDTF">2022-02-23T14:48:00Z</dcterms:created>
  <dcterms:modified xsi:type="dcterms:W3CDTF">2025-07-23T15:25:00Z</dcterms:modified>
</cp:coreProperties>
</file>